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17DB" w14:textId="77777777" w:rsidR="00E21D9D" w:rsidRPr="009934C3" w:rsidRDefault="009934C3" w:rsidP="001C6DFB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454D24BE" w14:textId="77777777" w:rsidR="00E21D9D" w:rsidRPr="009934C3" w:rsidRDefault="009934C3" w:rsidP="001C6DFB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1"/>
        <w:gridCol w:w="925"/>
        <w:gridCol w:w="1323"/>
        <w:gridCol w:w="869"/>
        <w:gridCol w:w="1220"/>
        <w:gridCol w:w="1451"/>
        <w:gridCol w:w="2861"/>
      </w:tblGrid>
      <w:tr w:rsidR="00426161" w14:paraId="568766AD" w14:textId="77777777" w:rsidTr="001C6DFB">
        <w:trPr>
          <w:trHeight w:val="20"/>
        </w:trPr>
        <w:tc>
          <w:tcPr>
            <w:tcW w:w="5000" w:type="pct"/>
            <w:gridSpan w:val="7"/>
          </w:tcPr>
          <w:p w14:paraId="3B87745A" w14:textId="77777777" w:rsidR="00E21D9D" w:rsidRDefault="009934C3" w:rsidP="00912A7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426161" w:rsidRPr="009934C3" w14:paraId="5F79A28B" w14:textId="77777777" w:rsidTr="001C6DFB">
        <w:trPr>
          <w:trHeight w:val="20"/>
        </w:trPr>
        <w:tc>
          <w:tcPr>
            <w:tcW w:w="2206" w:type="pct"/>
            <w:gridSpan w:val="4"/>
          </w:tcPr>
          <w:p w14:paraId="237AEDB7" w14:textId="77777777" w:rsidR="00E21D9D" w:rsidRPr="009934C3" w:rsidRDefault="009934C3" w:rsidP="001C6DFB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3DFE4A6A" w14:textId="77777777" w:rsidR="00E21D9D" w:rsidRPr="009934C3" w:rsidRDefault="009934C3" w:rsidP="001C6DFB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426161" w:rsidRPr="009934C3" w14:paraId="1F4F66B2" w14:textId="77777777" w:rsidTr="001C6DFB">
        <w:trPr>
          <w:trHeight w:val="20"/>
        </w:trPr>
        <w:tc>
          <w:tcPr>
            <w:tcW w:w="2206" w:type="pct"/>
            <w:gridSpan w:val="4"/>
          </w:tcPr>
          <w:p w14:paraId="585D86C3" w14:textId="77777777" w:rsidR="00E21D9D" w:rsidRPr="009934C3" w:rsidRDefault="009934C3" w:rsidP="001C6DFB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1707BFA2" w14:textId="77777777" w:rsidR="00E21D9D" w:rsidRPr="009934C3" w:rsidRDefault="009934C3" w:rsidP="001C6DF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426161" w:rsidRPr="009934C3" w14:paraId="6C22D796" w14:textId="77777777" w:rsidTr="001C6DFB">
        <w:trPr>
          <w:trHeight w:val="20"/>
        </w:trPr>
        <w:tc>
          <w:tcPr>
            <w:tcW w:w="2206" w:type="pct"/>
            <w:gridSpan w:val="4"/>
          </w:tcPr>
          <w:p w14:paraId="44238106" w14:textId="77777777" w:rsidR="00E21D9D" w:rsidRDefault="009934C3" w:rsidP="001C6D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21198C29" w14:textId="77777777" w:rsidR="00E21D9D" w:rsidRPr="009934C3" w:rsidRDefault="009934C3" w:rsidP="001C6DF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426161" w14:paraId="3C2D38C2" w14:textId="77777777" w:rsidTr="001C6DFB">
        <w:trPr>
          <w:trHeight w:val="20"/>
        </w:trPr>
        <w:tc>
          <w:tcPr>
            <w:tcW w:w="2206" w:type="pct"/>
            <w:gridSpan w:val="4"/>
          </w:tcPr>
          <w:p w14:paraId="0FB57567" w14:textId="77777777" w:rsidR="00E21D9D" w:rsidRDefault="009934C3" w:rsidP="001C6D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3F65B713" w14:textId="77777777" w:rsidR="00E21D9D" w:rsidRDefault="009934C3" w:rsidP="001C6DF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426161" w14:paraId="4F379E1E" w14:textId="77777777" w:rsidTr="001C6DFB">
        <w:trPr>
          <w:trHeight w:val="20"/>
        </w:trPr>
        <w:tc>
          <w:tcPr>
            <w:tcW w:w="2206" w:type="pct"/>
            <w:gridSpan w:val="4"/>
          </w:tcPr>
          <w:p w14:paraId="2DE730B0" w14:textId="77777777" w:rsidR="00E21D9D" w:rsidRDefault="009934C3" w:rsidP="001C6DF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19438AFC" w14:textId="77777777" w:rsidR="00E21D9D" w:rsidRDefault="009934C3" w:rsidP="001C6DF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426161" w14:paraId="1A073682" w14:textId="77777777" w:rsidTr="001C6DFB">
        <w:trPr>
          <w:trHeight w:val="20"/>
        </w:trPr>
        <w:tc>
          <w:tcPr>
            <w:tcW w:w="2206" w:type="pct"/>
            <w:gridSpan w:val="4"/>
          </w:tcPr>
          <w:p w14:paraId="23B9C40F" w14:textId="77777777" w:rsidR="00E21D9D" w:rsidRPr="009934C3" w:rsidRDefault="009934C3" w:rsidP="001C6DFB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28A34127" w14:textId="77777777" w:rsidR="00E21D9D" w:rsidRDefault="009934C3" w:rsidP="001C6DF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426161" w:rsidRPr="009934C3" w14:paraId="6AE283AB" w14:textId="77777777" w:rsidTr="001C6DFB">
        <w:trPr>
          <w:trHeight w:val="20"/>
        </w:trPr>
        <w:tc>
          <w:tcPr>
            <w:tcW w:w="2206" w:type="pct"/>
            <w:gridSpan w:val="4"/>
          </w:tcPr>
          <w:p w14:paraId="21C2DBB1" w14:textId="77777777" w:rsidR="00E21D9D" w:rsidRPr="009934C3" w:rsidRDefault="009934C3" w:rsidP="001C6DFB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4B72CD32" w14:textId="77777777" w:rsidR="001C6DFB" w:rsidRPr="009934C3" w:rsidRDefault="009934C3" w:rsidP="001C6DF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0E36E457" w14:textId="77777777" w:rsidR="00E21D9D" w:rsidRPr="009934C3" w:rsidRDefault="009934C3" w:rsidP="001C6DFB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1C6DFB">
                <w:rPr>
                  <w:b/>
                  <w:sz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426161" w14:paraId="2FE84496" w14:textId="77777777" w:rsidTr="001C6DFB">
        <w:trPr>
          <w:trHeight w:val="20"/>
        </w:trPr>
        <w:tc>
          <w:tcPr>
            <w:tcW w:w="2206" w:type="pct"/>
            <w:gridSpan w:val="4"/>
          </w:tcPr>
          <w:p w14:paraId="0EE21B74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</w:t>
            </w:r>
            <w:r>
              <w:rPr>
                <w:sz w:val="24"/>
                <w:lang w:val="en-US"/>
              </w:rPr>
              <w:t>material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1343ED03" w14:textId="77777777" w:rsidR="00E21D9D" w:rsidRDefault="009934C3" w:rsidP="001C6DF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February 28, 2019</w:t>
            </w:r>
          </w:p>
        </w:tc>
      </w:tr>
      <w:tr w:rsidR="00426161" w14:paraId="08B93966" w14:textId="77777777" w:rsidTr="001C6DFB">
        <w:trPr>
          <w:trHeight w:val="20"/>
        </w:trPr>
        <w:tc>
          <w:tcPr>
            <w:tcW w:w="5000" w:type="pct"/>
            <w:gridSpan w:val="7"/>
          </w:tcPr>
          <w:p w14:paraId="7C9C06AE" w14:textId="77777777" w:rsidR="00E21D9D" w:rsidRDefault="009934C3" w:rsidP="00912A7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426161" w14:paraId="5A876C16" w14:textId="77777777" w:rsidTr="001C6DFB">
        <w:trPr>
          <w:trHeight w:val="20"/>
        </w:trPr>
        <w:tc>
          <w:tcPr>
            <w:tcW w:w="5000" w:type="pct"/>
            <w:gridSpan w:val="7"/>
          </w:tcPr>
          <w:p w14:paraId="44DBBF04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3D3BE8CD" w14:textId="77777777" w:rsidR="00E21D9D" w:rsidRPr="009934C3" w:rsidRDefault="009934C3" w:rsidP="001C6DFB">
            <w:pPr>
              <w:pStyle w:val="TableParagraph"/>
              <w:ind w:left="0"/>
              <w:rPr>
                <w:b/>
                <w:lang w:val="en-US"/>
              </w:rPr>
            </w:pPr>
          </w:p>
          <w:p w14:paraId="3E5ECCFA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Voting results:</w:t>
            </w:r>
          </w:p>
          <w:p w14:paraId="55EA57C1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1 of the </w:t>
            </w:r>
            <w:r>
              <w:rPr>
                <w:sz w:val="24"/>
                <w:lang w:val="en-US"/>
              </w:rPr>
              <w:t>agenda</w:t>
            </w:r>
            <w:r>
              <w:rPr>
                <w:sz w:val="24"/>
                <w:lang w:val="en-US"/>
              </w:rPr>
              <w:t>:</w:t>
            </w:r>
          </w:p>
          <w:p w14:paraId="1A356527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0D763B13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0BC4FA55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0 votes;</w:t>
            </w:r>
          </w:p>
          <w:p w14:paraId="1EC44BB9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2 of the </w:t>
            </w:r>
            <w:r>
              <w:rPr>
                <w:sz w:val="24"/>
                <w:lang w:val="en-US"/>
              </w:rPr>
              <w:t>agenda:</w:t>
            </w:r>
          </w:p>
          <w:p w14:paraId="6B99BE90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043089A9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551DC8DF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0 votes;</w:t>
            </w:r>
          </w:p>
          <w:p w14:paraId="72B000DB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3 of the </w:t>
            </w:r>
            <w:r>
              <w:rPr>
                <w:sz w:val="24"/>
                <w:lang w:val="en-US"/>
              </w:rPr>
              <w:t>agenda:</w:t>
            </w:r>
          </w:p>
          <w:p w14:paraId="651DB656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3FE8E6EC" w14:textId="77777777" w:rsidR="00E21D9D" w:rsidRPr="009934C3" w:rsidRDefault="009934C3" w:rsidP="001C6DFB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64EFB1DE" w14:textId="77777777" w:rsidR="00E21D9D" w:rsidRDefault="009934C3" w:rsidP="001C6DFB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0 votes.</w:t>
            </w:r>
          </w:p>
        </w:tc>
      </w:tr>
      <w:tr w:rsidR="00426161" w:rsidRPr="009934C3" w14:paraId="79F98A24" w14:textId="77777777" w:rsidTr="001C6DFB">
        <w:trPr>
          <w:trHeight w:val="20"/>
        </w:trPr>
        <w:tc>
          <w:tcPr>
            <w:tcW w:w="5000" w:type="pct"/>
            <w:gridSpan w:val="7"/>
          </w:tcPr>
          <w:p w14:paraId="184A6B0D" w14:textId="77777777" w:rsidR="00E21D9D" w:rsidRPr="009934C3" w:rsidRDefault="009934C3" w:rsidP="001C6DFB">
            <w:pPr>
              <w:pStyle w:val="TableParagraph"/>
              <w:ind w:left="0" w:firstLine="43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Insider </w:t>
            </w:r>
            <w:r>
              <w:rPr>
                <w:b/>
                <w:sz w:val="24"/>
                <w:lang w:val="en-US"/>
              </w:rPr>
              <w:t>information disclosure on issue No. 1: "On execution of the business plan of IDGC of the South, PJSC for 9 months of 2018".</w:t>
            </w:r>
          </w:p>
        </w:tc>
      </w:tr>
      <w:tr w:rsidR="00426161" w:rsidRPr="009934C3" w14:paraId="56FBF88F" w14:textId="77777777" w:rsidTr="001C6DFB">
        <w:trPr>
          <w:trHeight w:val="20"/>
        </w:trPr>
        <w:tc>
          <w:tcPr>
            <w:tcW w:w="5000" w:type="pct"/>
            <w:gridSpan w:val="7"/>
          </w:tcPr>
          <w:p w14:paraId="75357EA9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204915B4" w14:textId="77777777" w:rsidR="00E21D9D" w:rsidRPr="009934C3" w:rsidRDefault="009934C3" w:rsidP="001C6DFB">
            <w:pPr>
              <w:pStyle w:val="TableParagraph"/>
              <w:numPr>
                <w:ilvl w:val="0"/>
                <w:numId w:val="2"/>
              </w:numPr>
              <w:tabs>
                <w:tab w:val="left" w:pos="847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into consideration the report on execution of the busine</w:t>
            </w:r>
            <w:r>
              <w:rPr>
                <w:sz w:val="24"/>
                <w:lang w:val="en-US"/>
              </w:rPr>
              <w:t>ss plan of IDGC of the South, PJSC for nine months of 2018 according to Annex No. 1 to this resolution of the Company's Board of Directors.</w:t>
            </w:r>
          </w:p>
          <w:p w14:paraId="2ED25B0E" w14:textId="77777777" w:rsidR="00E21D9D" w:rsidRPr="009934C3" w:rsidRDefault="009934C3" w:rsidP="001C6DFB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 the non-compliance with the indicators of the approved business plan for providing services on technological co</w:t>
            </w:r>
            <w:r>
              <w:rPr>
                <w:sz w:val="24"/>
                <w:lang w:val="en-US"/>
              </w:rPr>
              <w:t>nnection for the first nine months of 2018.</w:t>
            </w:r>
          </w:p>
        </w:tc>
      </w:tr>
      <w:tr w:rsidR="00426161" w:rsidRPr="009934C3" w14:paraId="678F549F" w14:textId="77777777" w:rsidTr="001C6DFB">
        <w:trPr>
          <w:trHeight w:val="20"/>
        </w:trPr>
        <w:tc>
          <w:tcPr>
            <w:tcW w:w="5000" w:type="pct"/>
            <w:gridSpan w:val="7"/>
          </w:tcPr>
          <w:p w14:paraId="1B7B62F0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2: "On approval of the report on the results of the Company's investment program for 9 months of 2018".</w:t>
            </w:r>
          </w:p>
        </w:tc>
      </w:tr>
      <w:tr w:rsidR="00426161" w:rsidRPr="009934C3" w14:paraId="183B1E1D" w14:textId="77777777" w:rsidTr="001C6DFB">
        <w:trPr>
          <w:trHeight w:val="20"/>
        </w:trPr>
        <w:tc>
          <w:tcPr>
            <w:tcW w:w="5000" w:type="pct"/>
            <w:gridSpan w:val="7"/>
          </w:tcPr>
          <w:p w14:paraId="00AE43E3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2.2.2. Resolution content adopted by the Issuer's Board of Dir</w:t>
            </w:r>
            <w:r>
              <w:rPr>
                <w:sz w:val="24"/>
                <w:lang w:val="en-US"/>
              </w:rPr>
              <w:t>ectors:</w:t>
            </w:r>
          </w:p>
          <w:p w14:paraId="386F1310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into consideration the report on the results of the Company's investment program for nine months of 2018 in accordance with Annex No. 2 hereto.</w:t>
            </w:r>
          </w:p>
        </w:tc>
      </w:tr>
      <w:tr w:rsidR="00426161" w:rsidRPr="009934C3" w14:paraId="07C4D5AD" w14:textId="77777777" w:rsidTr="001C6DFB">
        <w:trPr>
          <w:trHeight w:val="20"/>
        </w:trPr>
        <w:tc>
          <w:tcPr>
            <w:tcW w:w="5000" w:type="pct"/>
            <w:gridSpan w:val="7"/>
          </w:tcPr>
          <w:p w14:paraId="2EFF008C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3: "On re</w:t>
            </w:r>
            <w:bookmarkStart w:id="0" w:name="_GoBack"/>
            <w:r>
              <w:rPr>
                <w:b/>
                <w:sz w:val="24"/>
                <w:lang w:val="en-US"/>
              </w:rPr>
              <w:t>view</w:t>
            </w:r>
            <w:bookmarkEnd w:id="0"/>
            <w:r>
              <w:rPr>
                <w:b/>
                <w:sz w:val="24"/>
                <w:lang w:val="en-US"/>
              </w:rPr>
              <w:t xml:space="preserve"> of the report on execution of the </w:t>
            </w:r>
            <w:r>
              <w:rPr>
                <w:b/>
                <w:sz w:val="24"/>
                <w:lang w:val="en-US"/>
              </w:rPr>
              <w:t>business plan of IDGC of the South Group of Companies consolidated on the principles of RAS and IFRS for 9 months of 2018".</w:t>
            </w:r>
          </w:p>
        </w:tc>
      </w:tr>
      <w:tr w:rsidR="00426161" w:rsidRPr="009934C3" w14:paraId="219A4DBC" w14:textId="77777777" w:rsidTr="001C6DFB">
        <w:trPr>
          <w:trHeight w:val="20"/>
        </w:trPr>
        <w:tc>
          <w:tcPr>
            <w:tcW w:w="5000" w:type="pct"/>
            <w:gridSpan w:val="7"/>
          </w:tcPr>
          <w:p w14:paraId="25460705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2.2.3. Resolution content adopted by the Issuer's Board of Directors:</w:t>
            </w:r>
          </w:p>
          <w:p w14:paraId="0A881500" w14:textId="77777777" w:rsidR="00E21D9D" w:rsidRPr="009934C3" w:rsidRDefault="009934C3" w:rsidP="001C6DFB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into consideration the report on execution of the busine</w:t>
            </w:r>
            <w:r>
              <w:rPr>
                <w:sz w:val="24"/>
                <w:lang w:val="en-US"/>
              </w:rPr>
              <w:t xml:space="preserve">ss plan of IDGC of the South Group of Companies consolidated on the principles of RAS and IFRS for the nine months of 2018 in </w:t>
            </w:r>
            <w:r>
              <w:rPr>
                <w:sz w:val="24"/>
                <w:lang w:val="en-US"/>
              </w:rPr>
              <w:lastRenderedPageBreak/>
              <w:t>accordance with Annex No. 3 to this resolution of the Company's Board of Directors.</w:t>
            </w:r>
          </w:p>
        </w:tc>
      </w:tr>
      <w:tr w:rsidR="00426161" w:rsidRPr="009934C3" w14:paraId="3FE9FFBC" w14:textId="77777777" w:rsidTr="001C6DFB">
        <w:trPr>
          <w:trHeight w:val="20"/>
        </w:trPr>
        <w:tc>
          <w:tcPr>
            <w:tcW w:w="5000" w:type="pct"/>
            <w:gridSpan w:val="7"/>
          </w:tcPr>
          <w:p w14:paraId="37A4E9A2" w14:textId="77777777" w:rsidR="00E21D9D" w:rsidRPr="009934C3" w:rsidRDefault="009934C3" w:rsidP="001C6DFB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Date of the meeting of the Issuer's Board of </w:t>
            </w:r>
            <w:r>
              <w:rPr>
                <w:sz w:val="24"/>
                <w:lang w:val="en-US"/>
              </w:rPr>
              <w:t xml:space="preserve">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February 25, 2019.</w:t>
            </w:r>
          </w:p>
          <w:p w14:paraId="4CA3B881" w14:textId="77777777" w:rsidR="00E21D9D" w:rsidRPr="009934C3" w:rsidRDefault="009934C3" w:rsidP="001C6DFB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February 28, 2019, Minutes No. 299/2019.</w:t>
            </w:r>
          </w:p>
        </w:tc>
      </w:tr>
      <w:tr w:rsidR="00426161" w14:paraId="403E3C5F" w14:textId="77777777" w:rsidTr="001C6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4A518" w14:textId="77777777" w:rsidR="001C6DFB" w:rsidRDefault="009934C3" w:rsidP="003077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3. </w:t>
            </w:r>
            <w:r>
              <w:rPr>
                <w:sz w:val="24"/>
                <w:lang w:val="en-US"/>
              </w:rPr>
              <w:t>Signature</w:t>
            </w:r>
          </w:p>
        </w:tc>
      </w:tr>
      <w:tr w:rsidR="00426161" w14:paraId="441A2176" w14:textId="77777777" w:rsidTr="001C6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E9EDA43" w14:textId="77777777" w:rsidR="001C6DFB" w:rsidRPr="009934C3" w:rsidRDefault="009934C3" w:rsidP="003077AC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1F27F656" w14:textId="77777777" w:rsidR="001C6DFB" w:rsidRPr="009934C3" w:rsidRDefault="009934C3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5B220B58" w14:textId="77777777" w:rsidR="001C6DFB" w:rsidRDefault="009934C3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426161" w14:paraId="21359118" w14:textId="77777777" w:rsidTr="001C6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39827453" w14:textId="77777777" w:rsidR="001C6DFB" w:rsidRDefault="009934C3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5CB5606E" w14:textId="4A5DF75D" w:rsidR="001C6DFB" w:rsidRDefault="009934C3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3541325B" w14:textId="77777777" w:rsidR="001C6DFB" w:rsidRDefault="009934C3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426161" w14:paraId="0CAE522A" w14:textId="77777777" w:rsidTr="001C6D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1F0C1CDD" w14:textId="77777777" w:rsidR="001C6DFB" w:rsidRDefault="009934C3" w:rsidP="003077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2EBC0747" w14:textId="77777777" w:rsidR="001C6DFB" w:rsidRPr="00F33787" w:rsidRDefault="009934C3" w:rsidP="001C6DFB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February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E700315" w14:textId="77777777" w:rsidR="001C6DFB" w:rsidRPr="00F33787" w:rsidRDefault="009934C3" w:rsidP="003077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"28",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A334A18" w14:textId="77777777" w:rsidR="001C6DFB" w:rsidRPr="00F33787" w:rsidRDefault="009934C3" w:rsidP="003077AC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1692C7C3" w14:textId="77777777" w:rsidR="001C6DFB" w:rsidRDefault="009934C3" w:rsidP="001C6DFB"/>
    <w:sectPr w:rsidR="001C6DFB" w:rsidSect="00E21D9D">
      <w:pgSz w:w="11910" w:h="16850"/>
      <w:pgMar w:top="1080" w:right="720" w:bottom="280" w:left="1300" w:header="72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3537"/>
    <w:multiLevelType w:val="hybridMultilevel"/>
    <w:tmpl w:val="9CD8797C"/>
    <w:lvl w:ilvl="0" w:tplc="C5725BC4">
      <w:start w:val="1"/>
      <w:numFmt w:val="decimal"/>
      <w:lvlText w:val="%1."/>
      <w:lvlJc w:val="left"/>
      <w:pPr>
        <w:ind w:left="26" w:hanging="29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00A0620A">
      <w:numFmt w:val="bullet"/>
      <w:lvlText w:val="•"/>
      <w:lvlJc w:val="left"/>
      <w:pPr>
        <w:ind w:left="980" w:hanging="291"/>
      </w:pPr>
      <w:rPr>
        <w:rFonts w:hint="default"/>
        <w:lang w:val="ru-RU" w:eastAsia="ru-RU" w:bidi="ru-RU"/>
      </w:rPr>
    </w:lvl>
    <w:lvl w:ilvl="2" w:tplc="8206C27A">
      <w:numFmt w:val="bullet"/>
      <w:lvlText w:val="•"/>
      <w:lvlJc w:val="left"/>
      <w:pPr>
        <w:ind w:left="1941" w:hanging="291"/>
      </w:pPr>
      <w:rPr>
        <w:rFonts w:hint="default"/>
        <w:lang w:val="ru-RU" w:eastAsia="ru-RU" w:bidi="ru-RU"/>
      </w:rPr>
    </w:lvl>
    <w:lvl w:ilvl="3" w:tplc="45625290">
      <w:numFmt w:val="bullet"/>
      <w:lvlText w:val="•"/>
      <w:lvlJc w:val="left"/>
      <w:pPr>
        <w:ind w:left="2902" w:hanging="291"/>
      </w:pPr>
      <w:rPr>
        <w:rFonts w:hint="default"/>
        <w:lang w:val="ru-RU" w:eastAsia="ru-RU" w:bidi="ru-RU"/>
      </w:rPr>
    </w:lvl>
    <w:lvl w:ilvl="4" w:tplc="BC0A4272">
      <w:numFmt w:val="bullet"/>
      <w:lvlText w:val="•"/>
      <w:lvlJc w:val="left"/>
      <w:pPr>
        <w:ind w:left="3863" w:hanging="291"/>
      </w:pPr>
      <w:rPr>
        <w:rFonts w:hint="default"/>
        <w:lang w:val="ru-RU" w:eastAsia="ru-RU" w:bidi="ru-RU"/>
      </w:rPr>
    </w:lvl>
    <w:lvl w:ilvl="5" w:tplc="64E2973A">
      <w:numFmt w:val="bullet"/>
      <w:lvlText w:val="•"/>
      <w:lvlJc w:val="left"/>
      <w:pPr>
        <w:ind w:left="4824" w:hanging="291"/>
      </w:pPr>
      <w:rPr>
        <w:rFonts w:hint="default"/>
        <w:lang w:val="ru-RU" w:eastAsia="ru-RU" w:bidi="ru-RU"/>
      </w:rPr>
    </w:lvl>
    <w:lvl w:ilvl="6" w:tplc="09D0AF22">
      <w:numFmt w:val="bullet"/>
      <w:lvlText w:val="•"/>
      <w:lvlJc w:val="left"/>
      <w:pPr>
        <w:ind w:left="5785" w:hanging="291"/>
      </w:pPr>
      <w:rPr>
        <w:rFonts w:hint="default"/>
        <w:lang w:val="ru-RU" w:eastAsia="ru-RU" w:bidi="ru-RU"/>
      </w:rPr>
    </w:lvl>
    <w:lvl w:ilvl="7" w:tplc="31A4B996">
      <w:numFmt w:val="bullet"/>
      <w:lvlText w:val="•"/>
      <w:lvlJc w:val="left"/>
      <w:pPr>
        <w:ind w:left="6746" w:hanging="291"/>
      </w:pPr>
      <w:rPr>
        <w:rFonts w:hint="default"/>
        <w:lang w:val="ru-RU" w:eastAsia="ru-RU" w:bidi="ru-RU"/>
      </w:rPr>
    </w:lvl>
    <w:lvl w:ilvl="8" w:tplc="2F5E8BD4">
      <w:numFmt w:val="bullet"/>
      <w:lvlText w:val="•"/>
      <w:lvlJc w:val="left"/>
      <w:pPr>
        <w:ind w:left="7707" w:hanging="291"/>
      </w:pPr>
      <w:rPr>
        <w:rFonts w:hint="default"/>
        <w:lang w:val="ru-RU" w:eastAsia="ru-RU" w:bidi="ru-RU"/>
      </w:rPr>
    </w:lvl>
  </w:abstractNum>
  <w:abstractNum w:abstractNumId="1" w15:restartNumberingAfterBreak="0">
    <w:nsid w:val="09621804"/>
    <w:multiLevelType w:val="multilevel"/>
    <w:tmpl w:val="56B822B0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8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161"/>
    <w:rsid w:val="00426161"/>
    <w:rsid w:val="009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3E8"/>
  <w15:docId w15:val="{34AF2A9B-C73A-41C1-9D7D-1A8FA00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21D9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E21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D9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1D9D"/>
  </w:style>
  <w:style w:type="paragraph" w:customStyle="1" w:styleId="TableParagraph">
    <w:name w:val="Table Paragraph"/>
    <w:basedOn w:val="a"/>
    <w:uiPriority w:val="1"/>
    <w:qFormat/>
    <w:rsid w:val="00E21D9D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1C6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DF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C6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DF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2019-12-29T10:31:00Z</dcterms:created>
  <dcterms:modified xsi:type="dcterms:W3CDTF">2020-01-20T13:31:00Z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2019-12-29T00:00:00Z</vt:filetime>
  </property>
</Properties>
</file>